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A4D8" w14:textId="77777777" w:rsidR="00F071AC" w:rsidRDefault="00F071AC" w:rsidP="00F071AC">
      <w:pPr>
        <w:jc w:val="center"/>
        <w:rPr>
          <w:b/>
          <w:bCs/>
          <w:sz w:val="28"/>
          <w:szCs w:val="28"/>
        </w:rPr>
      </w:pPr>
      <w:r w:rsidRPr="00F34118">
        <w:rPr>
          <w:b/>
          <w:bCs/>
          <w:sz w:val="28"/>
          <w:szCs w:val="28"/>
        </w:rPr>
        <w:t>List of Supporting Policies Template</w:t>
      </w:r>
    </w:p>
    <w:p w14:paraId="3E6EDF57" w14:textId="77777777" w:rsidR="00F071AC" w:rsidRDefault="00F071AC" w:rsidP="00F071AC">
      <w:pPr>
        <w:jc w:val="center"/>
        <w:rPr>
          <w:b/>
          <w:bCs/>
          <w:sz w:val="28"/>
          <w:szCs w:val="28"/>
        </w:rPr>
      </w:pPr>
    </w:p>
    <w:tbl>
      <w:tblPr>
        <w:tblStyle w:val="TableGrid"/>
        <w:tblW w:w="0" w:type="auto"/>
        <w:tblLook w:val="04A0" w:firstRow="1" w:lastRow="0" w:firstColumn="1" w:lastColumn="0" w:noHBand="0" w:noVBand="1"/>
      </w:tblPr>
      <w:tblGrid>
        <w:gridCol w:w="1669"/>
        <w:gridCol w:w="3840"/>
        <w:gridCol w:w="3841"/>
      </w:tblGrid>
      <w:tr w:rsidR="00F071AC" w:rsidRPr="00C947C6" w14:paraId="5D3EE41F" w14:textId="77777777" w:rsidTr="00635EBC">
        <w:tc>
          <w:tcPr>
            <w:tcW w:w="1669" w:type="dxa"/>
          </w:tcPr>
          <w:p w14:paraId="3E7AE399" w14:textId="77777777" w:rsidR="00F071AC" w:rsidRPr="00C947C6" w:rsidRDefault="00F071AC" w:rsidP="00635EBC">
            <w:pPr>
              <w:rPr>
                <w:b/>
                <w:sz w:val="20"/>
                <w:szCs w:val="20"/>
              </w:rPr>
            </w:pPr>
            <w:r w:rsidRPr="00C947C6">
              <w:rPr>
                <w:b/>
                <w:sz w:val="20"/>
                <w:szCs w:val="20"/>
              </w:rPr>
              <w:t>Phase</w:t>
            </w:r>
          </w:p>
        </w:tc>
        <w:tc>
          <w:tcPr>
            <w:tcW w:w="3840" w:type="dxa"/>
          </w:tcPr>
          <w:p w14:paraId="0B7A3A01" w14:textId="77777777" w:rsidR="00F071AC" w:rsidRPr="00C947C6" w:rsidRDefault="00F071AC" w:rsidP="00635EBC">
            <w:pPr>
              <w:rPr>
                <w:b/>
                <w:sz w:val="20"/>
                <w:szCs w:val="20"/>
              </w:rPr>
            </w:pPr>
            <w:r w:rsidRPr="00C947C6">
              <w:rPr>
                <w:b/>
                <w:sz w:val="20"/>
                <w:szCs w:val="20"/>
              </w:rPr>
              <w:t>Process</w:t>
            </w:r>
          </w:p>
        </w:tc>
        <w:tc>
          <w:tcPr>
            <w:tcW w:w="3841" w:type="dxa"/>
          </w:tcPr>
          <w:p w14:paraId="6B0FEE89" w14:textId="77777777" w:rsidR="00F071AC" w:rsidRPr="00C947C6" w:rsidRDefault="00F071AC" w:rsidP="00635EBC">
            <w:pPr>
              <w:rPr>
                <w:b/>
                <w:sz w:val="20"/>
                <w:szCs w:val="20"/>
              </w:rPr>
            </w:pPr>
            <w:r w:rsidRPr="00C947C6">
              <w:rPr>
                <w:b/>
                <w:sz w:val="20"/>
                <w:szCs w:val="20"/>
              </w:rPr>
              <w:t>Supporting Policy</w:t>
            </w:r>
          </w:p>
        </w:tc>
      </w:tr>
      <w:tr w:rsidR="00F071AC" w:rsidRPr="00C947C6" w14:paraId="44673816" w14:textId="77777777" w:rsidTr="00635EBC">
        <w:trPr>
          <w:trHeight w:val="100"/>
        </w:trPr>
        <w:tc>
          <w:tcPr>
            <w:tcW w:w="1669" w:type="dxa"/>
            <w:vMerge w:val="restart"/>
          </w:tcPr>
          <w:p w14:paraId="50C257E5" w14:textId="77777777" w:rsidR="00F071AC" w:rsidRPr="00C947C6" w:rsidRDefault="00F071AC" w:rsidP="00635EBC">
            <w:pPr>
              <w:rPr>
                <w:sz w:val="20"/>
                <w:szCs w:val="20"/>
              </w:rPr>
            </w:pPr>
            <w:r w:rsidRPr="00C947C6">
              <w:rPr>
                <w:sz w:val="20"/>
                <w:szCs w:val="20"/>
              </w:rPr>
              <w:t>Identifying</w:t>
            </w:r>
          </w:p>
        </w:tc>
        <w:tc>
          <w:tcPr>
            <w:tcW w:w="3840" w:type="dxa"/>
          </w:tcPr>
          <w:p w14:paraId="4AB2D5D7" w14:textId="77777777" w:rsidR="00F071AC" w:rsidRPr="00C947C6" w:rsidRDefault="00F071AC" w:rsidP="00635EBC">
            <w:pPr>
              <w:rPr>
                <w:i/>
                <w:sz w:val="20"/>
                <w:szCs w:val="20"/>
              </w:rPr>
            </w:pPr>
            <w:r w:rsidRPr="00C947C6">
              <w:rPr>
                <w:i/>
                <w:sz w:val="20"/>
                <w:szCs w:val="20"/>
              </w:rPr>
              <w:t>Means of accessing military bases</w:t>
            </w:r>
          </w:p>
        </w:tc>
        <w:tc>
          <w:tcPr>
            <w:tcW w:w="3841" w:type="dxa"/>
          </w:tcPr>
          <w:p w14:paraId="49C2774A" w14:textId="77777777" w:rsidR="00F071AC" w:rsidRPr="00C947C6" w:rsidRDefault="00F071AC" w:rsidP="00635EBC">
            <w:pPr>
              <w:rPr>
                <w:i/>
                <w:sz w:val="20"/>
                <w:szCs w:val="20"/>
              </w:rPr>
            </w:pPr>
            <w:r w:rsidRPr="00C947C6">
              <w:rPr>
                <w:i/>
                <w:sz w:val="20"/>
                <w:szCs w:val="20"/>
              </w:rPr>
              <w:t>Recruiters accessing military bases must have a security clearance.</w:t>
            </w:r>
          </w:p>
        </w:tc>
      </w:tr>
      <w:tr w:rsidR="00F071AC" w:rsidRPr="00C947C6" w14:paraId="6C713F9D" w14:textId="77777777" w:rsidTr="00635EBC">
        <w:trPr>
          <w:trHeight w:val="100"/>
        </w:trPr>
        <w:tc>
          <w:tcPr>
            <w:tcW w:w="1669" w:type="dxa"/>
            <w:vMerge/>
          </w:tcPr>
          <w:p w14:paraId="46DF748A" w14:textId="77777777" w:rsidR="00F071AC" w:rsidRPr="00C947C6" w:rsidRDefault="00F071AC" w:rsidP="00635EBC">
            <w:pPr>
              <w:rPr>
                <w:sz w:val="20"/>
                <w:szCs w:val="20"/>
              </w:rPr>
            </w:pPr>
          </w:p>
        </w:tc>
        <w:tc>
          <w:tcPr>
            <w:tcW w:w="3840" w:type="dxa"/>
          </w:tcPr>
          <w:p w14:paraId="0586B617" w14:textId="77777777" w:rsidR="00F071AC" w:rsidRPr="00C947C6" w:rsidRDefault="00F071AC" w:rsidP="00635EBC">
            <w:pPr>
              <w:rPr>
                <w:i/>
                <w:sz w:val="20"/>
                <w:szCs w:val="20"/>
              </w:rPr>
            </w:pPr>
            <w:r w:rsidRPr="00C947C6">
              <w:rPr>
                <w:i/>
                <w:sz w:val="20"/>
                <w:szCs w:val="20"/>
              </w:rPr>
              <w:t>Materials necessary for participating in relevant job fairs</w:t>
            </w:r>
          </w:p>
        </w:tc>
        <w:tc>
          <w:tcPr>
            <w:tcW w:w="3841" w:type="dxa"/>
          </w:tcPr>
          <w:p w14:paraId="1C044FAC" w14:textId="77777777" w:rsidR="00F071AC" w:rsidRPr="00C947C6" w:rsidRDefault="00F071AC" w:rsidP="00635EBC">
            <w:pPr>
              <w:rPr>
                <w:i/>
                <w:sz w:val="20"/>
                <w:szCs w:val="20"/>
              </w:rPr>
            </w:pPr>
            <w:r w:rsidRPr="00C947C6">
              <w:rPr>
                <w:i/>
                <w:sz w:val="20"/>
                <w:szCs w:val="20"/>
              </w:rPr>
              <w:t>All materials provided to prospects at job fairs must be brand compliant and reviewed by the veteran talent translator.</w:t>
            </w:r>
          </w:p>
        </w:tc>
      </w:tr>
      <w:tr w:rsidR="00F071AC" w:rsidRPr="00C947C6" w14:paraId="3C48E24E" w14:textId="77777777" w:rsidTr="00635EBC">
        <w:trPr>
          <w:trHeight w:val="100"/>
        </w:trPr>
        <w:tc>
          <w:tcPr>
            <w:tcW w:w="1669" w:type="dxa"/>
            <w:vMerge/>
          </w:tcPr>
          <w:p w14:paraId="4FA26AD6" w14:textId="77777777" w:rsidR="00F071AC" w:rsidRPr="00C947C6" w:rsidRDefault="00F071AC" w:rsidP="00635EBC">
            <w:pPr>
              <w:rPr>
                <w:sz w:val="20"/>
                <w:szCs w:val="20"/>
              </w:rPr>
            </w:pPr>
          </w:p>
        </w:tc>
        <w:tc>
          <w:tcPr>
            <w:tcW w:w="3840" w:type="dxa"/>
          </w:tcPr>
          <w:p w14:paraId="24E976E0" w14:textId="77777777" w:rsidR="00F071AC" w:rsidRPr="00C947C6" w:rsidRDefault="00F071AC" w:rsidP="00635EBC">
            <w:pPr>
              <w:rPr>
                <w:i/>
                <w:iCs/>
                <w:sz w:val="20"/>
                <w:szCs w:val="20"/>
              </w:rPr>
            </w:pPr>
            <w:r w:rsidRPr="00C947C6">
              <w:rPr>
                <w:i/>
                <w:iCs/>
                <w:sz w:val="20"/>
                <w:szCs w:val="20"/>
              </w:rPr>
              <w:t>Etc.</w:t>
            </w:r>
          </w:p>
        </w:tc>
        <w:tc>
          <w:tcPr>
            <w:tcW w:w="3841" w:type="dxa"/>
          </w:tcPr>
          <w:p w14:paraId="2B822EC4" w14:textId="77777777" w:rsidR="00F071AC" w:rsidRPr="00C947C6" w:rsidRDefault="00F071AC" w:rsidP="00635EBC">
            <w:pPr>
              <w:rPr>
                <w:sz w:val="20"/>
                <w:szCs w:val="20"/>
              </w:rPr>
            </w:pPr>
          </w:p>
        </w:tc>
      </w:tr>
      <w:tr w:rsidR="00F071AC" w:rsidRPr="00C947C6" w14:paraId="381DDEF3" w14:textId="77777777" w:rsidTr="00635EBC">
        <w:trPr>
          <w:trHeight w:val="100"/>
        </w:trPr>
        <w:tc>
          <w:tcPr>
            <w:tcW w:w="1669" w:type="dxa"/>
            <w:vMerge w:val="restart"/>
          </w:tcPr>
          <w:p w14:paraId="531EA0A7" w14:textId="77777777" w:rsidR="00F071AC" w:rsidRPr="00C947C6" w:rsidRDefault="00F071AC" w:rsidP="00635EBC">
            <w:pPr>
              <w:rPr>
                <w:sz w:val="20"/>
                <w:szCs w:val="20"/>
              </w:rPr>
            </w:pPr>
            <w:r w:rsidRPr="00C947C6">
              <w:rPr>
                <w:sz w:val="20"/>
                <w:szCs w:val="20"/>
              </w:rPr>
              <w:t>Recruiting</w:t>
            </w:r>
          </w:p>
        </w:tc>
        <w:tc>
          <w:tcPr>
            <w:tcW w:w="3840" w:type="dxa"/>
          </w:tcPr>
          <w:p w14:paraId="59060A19" w14:textId="77777777" w:rsidR="00F071AC" w:rsidRPr="00C947C6" w:rsidRDefault="00F071AC" w:rsidP="00635EBC">
            <w:pPr>
              <w:rPr>
                <w:i/>
                <w:sz w:val="20"/>
                <w:szCs w:val="20"/>
              </w:rPr>
            </w:pPr>
            <w:r w:rsidRPr="00C947C6">
              <w:rPr>
                <w:i/>
                <w:sz w:val="20"/>
                <w:szCs w:val="20"/>
              </w:rPr>
              <w:t>An application that veterans can understand</w:t>
            </w:r>
          </w:p>
        </w:tc>
        <w:tc>
          <w:tcPr>
            <w:tcW w:w="3841" w:type="dxa"/>
          </w:tcPr>
          <w:p w14:paraId="57BE3C58" w14:textId="77777777" w:rsidR="00F071AC" w:rsidRPr="00C947C6" w:rsidRDefault="00F071AC" w:rsidP="00635EBC">
            <w:pPr>
              <w:rPr>
                <w:i/>
                <w:sz w:val="20"/>
                <w:szCs w:val="20"/>
              </w:rPr>
            </w:pPr>
            <w:r w:rsidRPr="00C947C6">
              <w:rPr>
                <w:i/>
                <w:sz w:val="20"/>
                <w:szCs w:val="20"/>
              </w:rPr>
              <w:t>Veterans must be allowed to self-identify during the application process.</w:t>
            </w:r>
          </w:p>
        </w:tc>
      </w:tr>
      <w:tr w:rsidR="00F071AC" w:rsidRPr="00C947C6" w14:paraId="23BFA896" w14:textId="77777777" w:rsidTr="00635EBC">
        <w:trPr>
          <w:trHeight w:val="100"/>
        </w:trPr>
        <w:tc>
          <w:tcPr>
            <w:tcW w:w="1669" w:type="dxa"/>
            <w:vMerge/>
          </w:tcPr>
          <w:p w14:paraId="6CFEE817" w14:textId="77777777" w:rsidR="00F071AC" w:rsidRPr="00C947C6" w:rsidRDefault="00F071AC" w:rsidP="00635EBC">
            <w:pPr>
              <w:rPr>
                <w:sz w:val="20"/>
                <w:szCs w:val="20"/>
              </w:rPr>
            </w:pPr>
          </w:p>
        </w:tc>
        <w:tc>
          <w:tcPr>
            <w:tcW w:w="3840" w:type="dxa"/>
          </w:tcPr>
          <w:p w14:paraId="0A1AB611" w14:textId="77777777" w:rsidR="00F071AC" w:rsidRPr="00C947C6" w:rsidRDefault="00F071AC" w:rsidP="00635EBC">
            <w:pPr>
              <w:rPr>
                <w:i/>
                <w:sz w:val="20"/>
                <w:szCs w:val="20"/>
              </w:rPr>
            </w:pPr>
            <w:r w:rsidRPr="00C947C6">
              <w:rPr>
                <w:i/>
                <w:sz w:val="20"/>
                <w:szCs w:val="20"/>
              </w:rPr>
              <w:t>A small team of dedicated veteran recruiters</w:t>
            </w:r>
          </w:p>
        </w:tc>
        <w:tc>
          <w:tcPr>
            <w:tcW w:w="3841" w:type="dxa"/>
          </w:tcPr>
          <w:p w14:paraId="3DC75975" w14:textId="77777777" w:rsidR="00F071AC" w:rsidRPr="00C947C6" w:rsidRDefault="00F071AC" w:rsidP="00635EBC">
            <w:pPr>
              <w:rPr>
                <w:i/>
                <w:sz w:val="20"/>
                <w:szCs w:val="20"/>
              </w:rPr>
            </w:pPr>
            <w:r w:rsidRPr="00C947C6">
              <w:rPr>
                <w:i/>
                <w:sz w:val="20"/>
                <w:szCs w:val="20"/>
              </w:rPr>
              <w:t xml:space="preserve">All recruiters must be </w:t>
            </w:r>
            <w:proofErr w:type="gramStart"/>
            <w:r w:rsidRPr="00C947C6">
              <w:rPr>
                <w:i/>
                <w:sz w:val="20"/>
                <w:szCs w:val="20"/>
              </w:rPr>
              <w:t>cross-trained</w:t>
            </w:r>
            <w:proofErr w:type="gramEnd"/>
            <w:r w:rsidRPr="00C947C6">
              <w:rPr>
                <w:i/>
                <w:sz w:val="20"/>
                <w:szCs w:val="20"/>
              </w:rPr>
              <w:t xml:space="preserve"> on veteran hiring.</w:t>
            </w:r>
          </w:p>
        </w:tc>
      </w:tr>
      <w:tr w:rsidR="00F071AC" w:rsidRPr="00C947C6" w14:paraId="2FD7A9DA" w14:textId="77777777" w:rsidTr="00635EBC">
        <w:trPr>
          <w:trHeight w:val="100"/>
        </w:trPr>
        <w:tc>
          <w:tcPr>
            <w:tcW w:w="1669" w:type="dxa"/>
            <w:vMerge/>
          </w:tcPr>
          <w:p w14:paraId="0AB3361F" w14:textId="77777777" w:rsidR="00F071AC" w:rsidRPr="00C947C6" w:rsidRDefault="00F071AC" w:rsidP="00635EBC">
            <w:pPr>
              <w:rPr>
                <w:sz w:val="20"/>
                <w:szCs w:val="20"/>
              </w:rPr>
            </w:pPr>
          </w:p>
        </w:tc>
        <w:tc>
          <w:tcPr>
            <w:tcW w:w="3840" w:type="dxa"/>
          </w:tcPr>
          <w:p w14:paraId="182FFC82" w14:textId="77777777" w:rsidR="00F071AC" w:rsidRPr="00C947C6" w:rsidRDefault="00F071AC" w:rsidP="00635EBC">
            <w:pPr>
              <w:rPr>
                <w:i/>
                <w:iCs/>
                <w:sz w:val="20"/>
                <w:szCs w:val="20"/>
              </w:rPr>
            </w:pPr>
            <w:r w:rsidRPr="00C947C6">
              <w:rPr>
                <w:i/>
                <w:iCs/>
                <w:sz w:val="20"/>
                <w:szCs w:val="20"/>
              </w:rPr>
              <w:t>Etc.</w:t>
            </w:r>
          </w:p>
        </w:tc>
        <w:tc>
          <w:tcPr>
            <w:tcW w:w="3841" w:type="dxa"/>
          </w:tcPr>
          <w:p w14:paraId="03F6D861" w14:textId="77777777" w:rsidR="00F071AC" w:rsidRPr="00C947C6" w:rsidRDefault="00F071AC" w:rsidP="00635EBC">
            <w:pPr>
              <w:rPr>
                <w:sz w:val="20"/>
                <w:szCs w:val="20"/>
              </w:rPr>
            </w:pPr>
          </w:p>
        </w:tc>
      </w:tr>
      <w:tr w:rsidR="00F071AC" w:rsidRPr="00C947C6" w14:paraId="526A7C98" w14:textId="77777777" w:rsidTr="00635EBC">
        <w:trPr>
          <w:trHeight w:val="100"/>
        </w:trPr>
        <w:tc>
          <w:tcPr>
            <w:tcW w:w="1669" w:type="dxa"/>
            <w:vMerge w:val="restart"/>
          </w:tcPr>
          <w:p w14:paraId="7F9BD4E7" w14:textId="77777777" w:rsidR="00F071AC" w:rsidRPr="00C947C6" w:rsidRDefault="00F071AC" w:rsidP="00635EBC">
            <w:pPr>
              <w:rPr>
                <w:sz w:val="20"/>
                <w:szCs w:val="20"/>
              </w:rPr>
            </w:pPr>
            <w:r w:rsidRPr="00C947C6">
              <w:rPr>
                <w:sz w:val="20"/>
                <w:szCs w:val="20"/>
              </w:rPr>
              <w:t>Interviewing</w:t>
            </w:r>
          </w:p>
        </w:tc>
        <w:tc>
          <w:tcPr>
            <w:tcW w:w="3840" w:type="dxa"/>
          </w:tcPr>
          <w:p w14:paraId="1843916A" w14:textId="77777777" w:rsidR="00F071AC" w:rsidRPr="00C947C6" w:rsidRDefault="00F071AC" w:rsidP="00635EBC">
            <w:pPr>
              <w:rPr>
                <w:i/>
                <w:sz w:val="20"/>
                <w:szCs w:val="20"/>
              </w:rPr>
            </w:pPr>
            <w:r w:rsidRPr="00C947C6">
              <w:rPr>
                <w:i/>
                <w:sz w:val="20"/>
                <w:szCs w:val="20"/>
              </w:rPr>
              <w:t>A trained cadre of professionals capable of understanding veterans</w:t>
            </w:r>
          </w:p>
        </w:tc>
        <w:tc>
          <w:tcPr>
            <w:tcW w:w="3841" w:type="dxa"/>
          </w:tcPr>
          <w:p w14:paraId="732E4DC5" w14:textId="77777777" w:rsidR="00F071AC" w:rsidRPr="00C947C6" w:rsidRDefault="00F071AC" w:rsidP="00635EBC">
            <w:pPr>
              <w:rPr>
                <w:i/>
                <w:sz w:val="20"/>
                <w:szCs w:val="20"/>
              </w:rPr>
            </w:pPr>
            <w:r w:rsidRPr="00C947C6">
              <w:rPr>
                <w:i/>
                <w:sz w:val="20"/>
                <w:szCs w:val="20"/>
              </w:rPr>
              <w:t>A veteran should accompany any untrained interviewer in an interview with a veteran.</w:t>
            </w:r>
          </w:p>
        </w:tc>
      </w:tr>
      <w:tr w:rsidR="00F071AC" w:rsidRPr="00C947C6" w14:paraId="3BC74B3C" w14:textId="77777777" w:rsidTr="00635EBC">
        <w:trPr>
          <w:trHeight w:val="100"/>
        </w:trPr>
        <w:tc>
          <w:tcPr>
            <w:tcW w:w="1669" w:type="dxa"/>
            <w:vMerge/>
          </w:tcPr>
          <w:p w14:paraId="5A3AC123" w14:textId="77777777" w:rsidR="00F071AC" w:rsidRPr="00C947C6" w:rsidRDefault="00F071AC" w:rsidP="00635EBC">
            <w:pPr>
              <w:rPr>
                <w:sz w:val="20"/>
                <w:szCs w:val="20"/>
              </w:rPr>
            </w:pPr>
          </w:p>
        </w:tc>
        <w:tc>
          <w:tcPr>
            <w:tcW w:w="3840" w:type="dxa"/>
          </w:tcPr>
          <w:p w14:paraId="1B104777" w14:textId="77777777" w:rsidR="00F071AC" w:rsidRPr="00C947C6" w:rsidRDefault="00F071AC" w:rsidP="00635EBC">
            <w:pPr>
              <w:rPr>
                <w:i/>
                <w:sz w:val="20"/>
                <w:szCs w:val="20"/>
              </w:rPr>
            </w:pPr>
            <w:r w:rsidRPr="00C947C6">
              <w:rPr>
                <w:i/>
                <w:sz w:val="20"/>
                <w:szCs w:val="20"/>
              </w:rPr>
              <w:t>Scripted competency-based questions to uncover a veteran’s transferable skills</w:t>
            </w:r>
          </w:p>
        </w:tc>
        <w:tc>
          <w:tcPr>
            <w:tcW w:w="3841" w:type="dxa"/>
          </w:tcPr>
          <w:p w14:paraId="5A925B59" w14:textId="77777777" w:rsidR="00F071AC" w:rsidRPr="00C947C6" w:rsidRDefault="00F071AC" w:rsidP="00635EBC">
            <w:pPr>
              <w:rPr>
                <w:i/>
                <w:sz w:val="20"/>
                <w:szCs w:val="20"/>
              </w:rPr>
            </w:pPr>
            <w:r w:rsidRPr="00C947C6">
              <w:rPr>
                <w:i/>
                <w:sz w:val="20"/>
                <w:szCs w:val="20"/>
              </w:rPr>
              <w:t>Veterans should be provided sample interview questions ahead of the interview.</w:t>
            </w:r>
          </w:p>
        </w:tc>
      </w:tr>
      <w:tr w:rsidR="00F071AC" w:rsidRPr="00C947C6" w14:paraId="5F110807" w14:textId="77777777" w:rsidTr="00635EBC">
        <w:trPr>
          <w:trHeight w:val="100"/>
        </w:trPr>
        <w:tc>
          <w:tcPr>
            <w:tcW w:w="1669" w:type="dxa"/>
            <w:vMerge/>
          </w:tcPr>
          <w:p w14:paraId="679E17D5" w14:textId="77777777" w:rsidR="00F071AC" w:rsidRPr="00C947C6" w:rsidRDefault="00F071AC" w:rsidP="00635EBC">
            <w:pPr>
              <w:rPr>
                <w:sz w:val="20"/>
                <w:szCs w:val="20"/>
              </w:rPr>
            </w:pPr>
          </w:p>
        </w:tc>
        <w:tc>
          <w:tcPr>
            <w:tcW w:w="3840" w:type="dxa"/>
          </w:tcPr>
          <w:p w14:paraId="37053AD1" w14:textId="77777777" w:rsidR="00F071AC" w:rsidRPr="00C947C6" w:rsidRDefault="00F071AC" w:rsidP="00635EBC">
            <w:pPr>
              <w:rPr>
                <w:i/>
                <w:sz w:val="20"/>
                <w:szCs w:val="20"/>
              </w:rPr>
            </w:pPr>
            <w:r w:rsidRPr="00C947C6">
              <w:rPr>
                <w:i/>
                <w:sz w:val="20"/>
                <w:szCs w:val="20"/>
              </w:rPr>
              <w:t>Etc.</w:t>
            </w:r>
          </w:p>
        </w:tc>
        <w:tc>
          <w:tcPr>
            <w:tcW w:w="3841" w:type="dxa"/>
          </w:tcPr>
          <w:p w14:paraId="5EAE481A" w14:textId="77777777" w:rsidR="00F071AC" w:rsidRPr="00C947C6" w:rsidRDefault="00F071AC" w:rsidP="00635EBC">
            <w:pPr>
              <w:rPr>
                <w:i/>
                <w:sz w:val="20"/>
                <w:szCs w:val="20"/>
              </w:rPr>
            </w:pPr>
          </w:p>
        </w:tc>
      </w:tr>
      <w:tr w:rsidR="00F071AC" w:rsidRPr="00C947C6" w14:paraId="405F248C" w14:textId="77777777" w:rsidTr="00635EBC">
        <w:trPr>
          <w:trHeight w:val="100"/>
        </w:trPr>
        <w:tc>
          <w:tcPr>
            <w:tcW w:w="1669" w:type="dxa"/>
            <w:vMerge w:val="restart"/>
          </w:tcPr>
          <w:p w14:paraId="2B6DD4AD" w14:textId="77777777" w:rsidR="00F071AC" w:rsidRPr="00C947C6" w:rsidRDefault="00F071AC" w:rsidP="00635EBC">
            <w:pPr>
              <w:rPr>
                <w:sz w:val="20"/>
                <w:szCs w:val="20"/>
              </w:rPr>
            </w:pPr>
            <w:r w:rsidRPr="00C947C6">
              <w:rPr>
                <w:sz w:val="20"/>
                <w:szCs w:val="20"/>
              </w:rPr>
              <w:t>Hiring</w:t>
            </w:r>
          </w:p>
        </w:tc>
        <w:tc>
          <w:tcPr>
            <w:tcW w:w="3840" w:type="dxa"/>
          </w:tcPr>
          <w:p w14:paraId="2F84CC69" w14:textId="77777777" w:rsidR="00F071AC" w:rsidRPr="00C947C6" w:rsidRDefault="00F071AC" w:rsidP="00635EBC">
            <w:pPr>
              <w:rPr>
                <w:i/>
                <w:sz w:val="20"/>
                <w:szCs w:val="20"/>
              </w:rPr>
            </w:pPr>
            <w:r w:rsidRPr="00C947C6">
              <w:rPr>
                <w:i/>
                <w:sz w:val="20"/>
                <w:szCs w:val="20"/>
              </w:rPr>
              <w:t>Offer packages containing sufficient education on the components of the organization’s compensation and benefits packages</w:t>
            </w:r>
          </w:p>
        </w:tc>
        <w:tc>
          <w:tcPr>
            <w:tcW w:w="3841" w:type="dxa"/>
          </w:tcPr>
          <w:p w14:paraId="14A2B0A3" w14:textId="77777777" w:rsidR="00F071AC" w:rsidRPr="00C947C6" w:rsidRDefault="00F071AC" w:rsidP="00635EBC">
            <w:pPr>
              <w:rPr>
                <w:i/>
                <w:sz w:val="20"/>
                <w:szCs w:val="20"/>
              </w:rPr>
            </w:pPr>
            <w:r w:rsidRPr="00C947C6">
              <w:rPr>
                <w:i/>
                <w:sz w:val="20"/>
                <w:szCs w:val="20"/>
              </w:rPr>
              <w:t>Veterans may take 50 percent longer than non-veterans to respond to offer letters to enable time to answer their questions.</w:t>
            </w:r>
          </w:p>
        </w:tc>
      </w:tr>
      <w:tr w:rsidR="00F071AC" w:rsidRPr="00C947C6" w14:paraId="50C716FC" w14:textId="77777777" w:rsidTr="00635EBC">
        <w:trPr>
          <w:trHeight w:val="100"/>
        </w:trPr>
        <w:tc>
          <w:tcPr>
            <w:tcW w:w="1669" w:type="dxa"/>
            <w:vMerge/>
          </w:tcPr>
          <w:p w14:paraId="1D09E5B4" w14:textId="77777777" w:rsidR="00F071AC" w:rsidRPr="00C947C6" w:rsidRDefault="00F071AC" w:rsidP="00635EBC">
            <w:pPr>
              <w:rPr>
                <w:sz w:val="20"/>
                <w:szCs w:val="20"/>
              </w:rPr>
            </w:pPr>
          </w:p>
        </w:tc>
        <w:tc>
          <w:tcPr>
            <w:tcW w:w="3840" w:type="dxa"/>
          </w:tcPr>
          <w:p w14:paraId="1FBDF1E0" w14:textId="77777777" w:rsidR="00F071AC" w:rsidRPr="00C947C6" w:rsidRDefault="00F071AC" w:rsidP="00635EBC">
            <w:pPr>
              <w:rPr>
                <w:i/>
                <w:sz w:val="20"/>
                <w:szCs w:val="20"/>
              </w:rPr>
            </w:pPr>
            <w:r w:rsidRPr="00C947C6">
              <w:rPr>
                <w:i/>
                <w:sz w:val="20"/>
                <w:szCs w:val="20"/>
              </w:rPr>
              <w:t>A policy to send messages to the managers and senior managers of new veteran hires upon arrival</w:t>
            </w:r>
          </w:p>
        </w:tc>
        <w:tc>
          <w:tcPr>
            <w:tcW w:w="3841" w:type="dxa"/>
          </w:tcPr>
          <w:p w14:paraId="54F4DCCA" w14:textId="77777777" w:rsidR="00F071AC" w:rsidRPr="00C947C6" w:rsidRDefault="00F071AC" w:rsidP="00635EBC">
            <w:pPr>
              <w:rPr>
                <w:i/>
                <w:sz w:val="20"/>
                <w:szCs w:val="20"/>
              </w:rPr>
            </w:pPr>
            <w:r w:rsidRPr="00C947C6">
              <w:rPr>
                <w:i/>
                <w:sz w:val="20"/>
                <w:szCs w:val="20"/>
              </w:rPr>
              <w:t>A welcome letter from a new hire veteran’s manager should accompany any offer letter.</w:t>
            </w:r>
          </w:p>
        </w:tc>
      </w:tr>
      <w:tr w:rsidR="00F071AC" w:rsidRPr="00C947C6" w14:paraId="149C87A2" w14:textId="77777777" w:rsidTr="00635EBC">
        <w:trPr>
          <w:trHeight w:val="100"/>
        </w:trPr>
        <w:tc>
          <w:tcPr>
            <w:tcW w:w="1669" w:type="dxa"/>
            <w:vMerge/>
          </w:tcPr>
          <w:p w14:paraId="00C9A714" w14:textId="77777777" w:rsidR="00F071AC" w:rsidRPr="00C947C6" w:rsidRDefault="00F071AC" w:rsidP="00635EBC">
            <w:pPr>
              <w:rPr>
                <w:sz w:val="20"/>
                <w:szCs w:val="20"/>
              </w:rPr>
            </w:pPr>
          </w:p>
        </w:tc>
        <w:tc>
          <w:tcPr>
            <w:tcW w:w="3840" w:type="dxa"/>
          </w:tcPr>
          <w:p w14:paraId="531B6276" w14:textId="77777777" w:rsidR="00F071AC" w:rsidRPr="00C947C6" w:rsidRDefault="00F071AC" w:rsidP="00635EBC">
            <w:pPr>
              <w:rPr>
                <w:i/>
                <w:sz w:val="20"/>
                <w:szCs w:val="20"/>
              </w:rPr>
            </w:pPr>
            <w:r w:rsidRPr="00C947C6">
              <w:rPr>
                <w:i/>
                <w:sz w:val="20"/>
                <w:szCs w:val="20"/>
              </w:rPr>
              <w:t>Etc.</w:t>
            </w:r>
          </w:p>
        </w:tc>
        <w:tc>
          <w:tcPr>
            <w:tcW w:w="3841" w:type="dxa"/>
          </w:tcPr>
          <w:p w14:paraId="5C9D2B8C" w14:textId="77777777" w:rsidR="00F071AC" w:rsidRPr="00C947C6" w:rsidRDefault="00F071AC" w:rsidP="00635EBC">
            <w:pPr>
              <w:rPr>
                <w:i/>
                <w:sz w:val="20"/>
                <w:szCs w:val="20"/>
              </w:rPr>
            </w:pPr>
          </w:p>
        </w:tc>
      </w:tr>
      <w:tr w:rsidR="00F071AC" w:rsidRPr="00C947C6" w14:paraId="619B9123" w14:textId="77777777" w:rsidTr="00635EBC">
        <w:trPr>
          <w:trHeight w:val="100"/>
        </w:trPr>
        <w:tc>
          <w:tcPr>
            <w:tcW w:w="1669" w:type="dxa"/>
            <w:vMerge w:val="restart"/>
          </w:tcPr>
          <w:p w14:paraId="540C094C" w14:textId="77777777" w:rsidR="00F071AC" w:rsidRPr="00C947C6" w:rsidRDefault="00F071AC" w:rsidP="00635EBC">
            <w:pPr>
              <w:rPr>
                <w:sz w:val="20"/>
                <w:szCs w:val="20"/>
              </w:rPr>
            </w:pPr>
            <w:r w:rsidRPr="00C947C6">
              <w:rPr>
                <w:sz w:val="20"/>
                <w:szCs w:val="20"/>
              </w:rPr>
              <w:t>Onboarding</w:t>
            </w:r>
          </w:p>
        </w:tc>
        <w:tc>
          <w:tcPr>
            <w:tcW w:w="3840" w:type="dxa"/>
          </w:tcPr>
          <w:p w14:paraId="6CCD9255" w14:textId="77777777" w:rsidR="00F071AC" w:rsidRPr="00C947C6" w:rsidRDefault="00F071AC" w:rsidP="00635EBC">
            <w:pPr>
              <w:rPr>
                <w:i/>
                <w:sz w:val="20"/>
                <w:szCs w:val="20"/>
              </w:rPr>
            </w:pPr>
            <w:r w:rsidRPr="00C947C6">
              <w:rPr>
                <w:i/>
                <w:sz w:val="20"/>
                <w:szCs w:val="20"/>
              </w:rPr>
              <w:t>A program that assigns every new veteran hire a mentor</w:t>
            </w:r>
          </w:p>
        </w:tc>
        <w:tc>
          <w:tcPr>
            <w:tcW w:w="3841" w:type="dxa"/>
          </w:tcPr>
          <w:p w14:paraId="2573AC09" w14:textId="77777777" w:rsidR="00F071AC" w:rsidRPr="00C947C6" w:rsidRDefault="00F071AC" w:rsidP="00635EBC">
            <w:pPr>
              <w:rPr>
                <w:i/>
                <w:sz w:val="20"/>
                <w:szCs w:val="20"/>
              </w:rPr>
            </w:pPr>
            <w:r w:rsidRPr="00C947C6">
              <w:rPr>
                <w:i/>
                <w:sz w:val="20"/>
                <w:szCs w:val="20"/>
              </w:rPr>
              <w:t>Every new hire veteran will be provided a mentor within 30 days of their start date.</w:t>
            </w:r>
          </w:p>
        </w:tc>
      </w:tr>
      <w:tr w:rsidR="00F071AC" w:rsidRPr="00C947C6" w14:paraId="2A1204F6" w14:textId="77777777" w:rsidTr="00635EBC">
        <w:trPr>
          <w:trHeight w:val="100"/>
        </w:trPr>
        <w:tc>
          <w:tcPr>
            <w:tcW w:w="1669" w:type="dxa"/>
            <w:vMerge/>
          </w:tcPr>
          <w:p w14:paraId="281BCA93" w14:textId="77777777" w:rsidR="00F071AC" w:rsidRPr="00C947C6" w:rsidRDefault="00F071AC" w:rsidP="00635EBC">
            <w:pPr>
              <w:rPr>
                <w:sz w:val="20"/>
                <w:szCs w:val="20"/>
              </w:rPr>
            </w:pPr>
          </w:p>
        </w:tc>
        <w:tc>
          <w:tcPr>
            <w:tcW w:w="3840" w:type="dxa"/>
          </w:tcPr>
          <w:p w14:paraId="4D374198" w14:textId="77777777" w:rsidR="00F071AC" w:rsidRPr="00C947C6" w:rsidRDefault="00F071AC" w:rsidP="00635EBC">
            <w:pPr>
              <w:rPr>
                <w:i/>
                <w:sz w:val="20"/>
                <w:szCs w:val="20"/>
              </w:rPr>
            </w:pPr>
            <w:r w:rsidRPr="00C947C6">
              <w:rPr>
                <w:i/>
                <w:sz w:val="20"/>
                <w:szCs w:val="20"/>
              </w:rPr>
              <w:t>An affinity group for veteran peers in the organization</w:t>
            </w:r>
          </w:p>
        </w:tc>
        <w:tc>
          <w:tcPr>
            <w:tcW w:w="3841" w:type="dxa"/>
          </w:tcPr>
          <w:p w14:paraId="5BDC360A" w14:textId="77777777" w:rsidR="00F071AC" w:rsidRPr="00C947C6" w:rsidRDefault="00F071AC" w:rsidP="00635EBC">
            <w:pPr>
              <w:rPr>
                <w:i/>
                <w:sz w:val="20"/>
                <w:szCs w:val="20"/>
              </w:rPr>
            </w:pPr>
            <w:r w:rsidRPr="00C947C6">
              <w:rPr>
                <w:i/>
                <w:sz w:val="20"/>
                <w:szCs w:val="20"/>
              </w:rPr>
              <w:t>All new veteran hires will enroll in the organization’s business resource group for veterans.</w:t>
            </w:r>
          </w:p>
        </w:tc>
      </w:tr>
      <w:tr w:rsidR="00F071AC" w:rsidRPr="00C947C6" w14:paraId="604875E7" w14:textId="77777777" w:rsidTr="00635EBC">
        <w:trPr>
          <w:trHeight w:val="100"/>
        </w:trPr>
        <w:tc>
          <w:tcPr>
            <w:tcW w:w="1669" w:type="dxa"/>
            <w:vMerge/>
          </w:tcPr>
          <w:p w14:paraId="1055175A" w14:textId="77777777" w:rsidR="00F071AC" w:rsidRPr="00C947C6" w:rsidRDefault="00F071AC" w:rsidP="00635EBC">
            <w:pPr>
              <w:rPr>
                <w:sz w:val="20"/>
                <w:szCs w:val="20"/>
              </w:rPr>
            </w:pPr>
          </w:p>
        </w:tc>
        <w:tc>
          <w:tcPr>
            <w:tcW w:w="3840" w:type="dxa"/>
          </w:tcPr>
          <w:p w14:paraId="2B6DA433" w14:textId="77777777" w:rsidR="00F071AC" w:rsidRPr="00C947C6" w:rsidRDefault="00F071AC" w:rsidP="00635EBC">
            <w:pPr>
              <w:rPr>
                <w:i/>
                <w:sz w:val="20"/>
                <w:szCs w:val="20"/>
              </w:rPr>
            </w:pPr>
            <w:r w:rsidRPr="00C947C6">
              <w:rPr>
                <w:i/>
                <w:sz w:val="20"/>
                <w:szCs w:val="20"/>
              </w:rPr>
              <w:t>Etc.</w:t>
            </w:r>
          </w:p>
        </w:tc>
        <w:tc>
          <w:tcPr>
            <w:tcW w:w="3841" w:type="dxa"/>
          </w:tcPr>
          <w:p w14:paraId="2840FD77" w14:textId="77777777" w:rsidR="00F071AC" w:rsidRPr="00C947C6" w:rsidRDefault="00F071AC" w:rsidP="00635EBC">
            <w:pPr>
              <w:rPr>
                <w:i/>
                <w:sz w:val="20"/>
                <w:szCs w:val="20"/>
              </w:rPr>
            </w:pPr>
          </w:p>
        </w:tc>
      </w:tr>
      <w:tr w:rsidR="00F071AC" w:rsidRPr="00C947C6" w14:paraId="5D881321" w14:textId="77777777" w:rsidTr="00635EBC">
        <w:trPr>
          <w:trHeight w:val="100"/>
        </w:trPr>
        <w:tc>
          <w:tcPr>
            <w:tcW w:w="1669" w:type="dxa"/>
            <w:vMerge w:val="restart"/>
          </w:tcPr>
          <w:p w14:paraId="56DFF72F" w14:textId="77777777" w:rsidR="00F071AC" w:rsidRPr="00C947C6" w:rsidRDefault="00F071AC" w:rsidP="00635EBC">
            <w:pPr>
              <w:rPr>
                <w:sz w:val="20"/>
                <w:szCs w:val="20"/>
              </w:rPr>
            </w:pPr>
            <w:r w:rsidRPr="00C947C6">
              <w:rPr>
                <w:sz w:val="20"/>
                <w:szCs w:val="20"/>
              </w:rPr>
              <w:t>Training</w:t>
            </w:r>
          </w:p>
        </w:tc>
        <w:tc>
          <w:tcPr>
            <w:tcW w:w="3840" w:type="dxa"/>
          </w:tcPr>
          <w:p w14:paraId="691A9EDD" w14:textId="77777777" w:rsidR="00F071AC" w:rsidRPr="00C947C6" w:rsidRDefault="00F071AC" w:rsidP="00635EBC">
            <w:pPr>
              <w:rPr>
                <w:i/>
                <w:sz w:val="20"/>
                <w:szCs w:val="20"/>
              </w:rPr>
            </w:pPr>
            <w:r w:rsidRPr="00C947C6">
              <w:rPr>
                <w:i/>
                <w:sz w:val="20"/>
                <w:szCs w:val="20"/>
              </w:rPr>
              <w:t>Access to classrooms with audiovisual capabilities sufficient for teaching classes</w:t>
            </w:r>
          </w:p>
        </w:tc>
        <w:tc>
          <w:tcPr>
            <w:tcW w:w="3841" w:type="dxa"/>
          </w:tcPr>
          <w:p w14:paraId="3D4D677E" w14:textId="77777777" w:rsidR="00F071AC" w:rsidRPr="00C947C6" w:rsidRDefault="00F071AC" w:rsidP="00635EBC">
            <w:pPr>
              <w:rPr>
                <w:i/>
                <w:sz w:val="20"/>
                <w:szCs w:val="20"/>
              </w:rPr>
            </w:pPr>
            <w:r w:rsidRPr="00C947C6">
              <w:rPr>
                <w:i/>
                <w:sz w:val="20"/>
                <w:szCs w:val="20"/>
              </w:rPr>
              <w:t>To the extent possible integrate veterans with their civilian peers in attending all functional training. Reimburse reasonable expenses for procuring space for teaching courses outside of the organization if all available space in the organization is reserved.</w:t>
            </w:r>
          </w:p>
        </w:tc>
      </w:tr>
      <w:tr w:rsidR="00F071AC" w:rsidRPr="00C947C6" w14:paraId="62CA43EF" w14:textId="77777777" w:rsidTr="00635EBC">
        <w:trPr>
          <w:trHeight w:val="100"/>
        </w:trPr>
        <w:tc>
          <w:tcPr>
            <w:tcW w:w="1669" w:type="dxa"/>
            <w:vMerge/>
          </w:tcPr>
          <w:p w14:paraId="4852C855" w14:textId="77777777" w:rsidR="00F071AC" w:rsidRPr="00C947C6" w:rsidRDefault="00F071AC" w:rsidP="00635EBC">
            <w:pPr>
              <w:rPr>
                <w:sz w:val="20"/>
                <w:szCs w:val="20"/>
              </w:rPr>
            </w:pPr>
          </w:p>
        </w:tc>
        <w:tc>
          <w:tcPr>
            <w:tcW w:w="3840" w:type="dxa"/>
          </w:tcPr>
          <w:p w14:paraId="2ADC3B93" w14:textId="77777777" w:rsidR="00F071AC" w:rsidRPr="00C947C6" w:rsidRDefault="00F071AC" w:rsidP="00635EBC">
            <w:pPr>
              <w:rPr>
                <w:i/>
                <w:sz w:val="20"/>
                <w:szCs w:val="20"/>
              </w:rPr>
            </w:pPr>
            <w:r w:rsidRPr="00C947C6">
              <w:rPr>
                <w:i/>
                <w:sz w:val="20"/>
                <w:szCs w:val="20"/>
              </w:rPr>
              <w:t>Curricula for transitioning veterans and their civilian managers</w:t>
            </w:r>
          </w:p>
        </w:tc>
        <w:tc>
          <w:tcPr>
            <w:tcW w:w="3841" w:type="dxa"/>
          </w:tcPr>
          <w:p w14:paraId="5DE62FF2" w14:textId="77777777" w:rsidR="00F071AC" w:rsidRPr="00C947C6" w:rsidRDefault="00F071AC" w:rsidP="00635EBC">
            <w:pPr>
              <w:rPr>
                <w:i/>
                <w:sz w:val="20"/>
                <w:szCs w:val="20"/>
              </w:rPr>
            </w:pPr>
            <w:r w:rsidRPr="00C947C6">
              <w:rPr>
                <w:i/>
                <w:sz w:val="20"/>
                <w:szCs w:val="20"/>
              </w:rPr>
              <w:t>All veterans will attend a veteran-specific onboarding curriculum within 120 days of their start date. All veterans' non-veteran managers and senior managers must pass the online curriculum regarding the management of veterans within 30 days of the veteran’s start date.</w:t>
            </w:r>
          </w:p>
        </w:tc>
      </w:tr>
      <w:tr w:rsidR="00F071AC" w:rsidRPr="00C947C6" w14:paraId="527B21BA" w14:textId="77777777" w:rsidTr="00635EBC">
        <w:trPr>
          <w:trHeight w:val="100"/>
        </w:trPr>
        <w:tc>
          <w:tcPr>
            <w:tcW w:w="1669" w:type="dxa"/>
            <w:vMerge/>
          </w:tcPr>
          <w:p w14:paraId="049D0CAF" w14:textId="77777777" w:rsidR="00F071AC" w:rsidRPr="00C947C6" w:rsidRDefault="00F071AC" w:rsidP="00635EBC">
            <w:pPr>
              <w:rPr>
                <w:sz w:val="20"/>
                <w:szCs w:val="20"/>
              </w:rPr>
            </w:pPr>
          </w:p>
        </w:tc>
        <w:tc>
          <w:tcPr>
            <w:tcW w:w="3840" w:type="dxa"/>
          </w:tcPr>
          <w:p w14:paraId="17FC356C" w14:textId="77777777" w:rsidR="00F071AC" w:rsidRPr="00C947C6" w:rsidRDefault="00F071AC" w:rsidP="00635EBC">
            <w:pPr>
              <w:rPr>
                <w:i/>
                <w:sz w:val="20"/>
                <w:szCs w:val="20"/>
              </w:rPr>
            </w:pPr>
            <w:r w:rsidRPr="00C947C6">
              <w:rPr>
                <w:i/>
                <w:sz w:val="20"/>
                <w:szCs w:val="20"/>
              </w:rPr>
              <w:t>Etc.</w:t>
            </w:r>
          </w:p>
        </w:tc>
        <w:tc>
          <w:tcPr>
            <w:tcW w:w="3841" w:type="dxa"/>
          </w:tcPr>
          <w:p w14:paraId="419A2B47" w14:textId="77777777" w:rsidR="00F071AC" w:rsidRPr="00C947C6" w:rsidRDefault="00F071AC" w:rsidP="00635EBC">
            <w:pPr>
              <w:rPr>
                <w:i/>
                <w:sz w:val="20"/>
                <w:szCs w:val="20"/>
              </w:rPr>
            </w:pPr>
          </w:p>
        </w:tc>
      </w:tr>
      <w:tr w:rsidR="00F071AC" w:rsidRPr="00C947C6" w14:paraId="5755120C" w14:textId="77777777" w:rsidTr="00635EBC">
        <w:trPr>
          <w:trHeight w:val="100"/>
        </w:trPr>
        <w:tc>
          <w:tcPr>
            <w:tcW w:w="1669" w:type="dxa"/>
            <w:vMerge w:val="restart"/>
          </w:tcPr>
          <w:p w14:paraId="58C9BBBA" w14:textId="77777777" w:rsidR="00F071AC" w:rsidRPr="00C947C6" w:rsidRDefault="00F071AC" w:rsidP="00635EBC">
            <w:pPr>
              <w:rPr>
                <w:sz w:val="20"/>
                <w:szCs w:val="20"/>
              </w:rPr>
            </w:pPr>
            <w:r w:rsidRPr="00C947C6">
              <w:rPr>
                <w:sz w:val="20"/>
                <w:szCs w:val="20"/>
              </w:rPr>
              <w:t>Deploying</w:t>
            </w:r>
          </w:p>
        </w:tc>
        <w:tc>
          <w:tcPr>
            <w:tcW w:w="3840" w:type="dxa"/>
          </w:tcPr>
          <w:p w14:paraId="4E33C2A2" w14:textId="77777777" w:rsidR="00F071AC" w:rsidRPr="00C947C6" w:rsidRDefault="00F071AC" w:rsidP="00635EBC">
            <w:pPr>
              <w:rPr>
                <w:i/>
                <w:sz w:val="20"/>
                <w:szCs w:val="20"/>
              </w:rPr>
            </w:pPr>
            <w:r w:rsidRPr="00C947C6">
              <w:rPr>
                <w:i/>
                <w:sz w:val="20"/>
                <w:szCs w:val="20"/>
              </w:rPr>
              <w:t>Policies that ensure goal setting to encourage organizational commitment</w:t>
            </w:r>
            <w:r w:rsidRPr="00C947C6">
              <w:rPr>
                <w:i/>
                <w:sz w:val="20"/>
                <w:szCs w:val="20"/>
              </w:rPr>
              <w:tab/>
            </w:r>
          </w:p>
        </w:tc>
        <w:tc>
          <w:tcPr>
            <w:tcW w:w="3841" w:type="dxa"/>
          </w:tcPr>
          <w:p w14:paraId="32BEA88E" w14:textId="77777777" w:rsidR="00F071AC" w:rsidRPr="00C947C6" w:rsidRDefault="00F071AC" w:rsidP="00635EBC">
            <w:pPr>
              <w:rPr>
                <w:i/>
                <w:sz w:val="20"/>
                <w:szCs w:val="20"/>
              </w:rPr>
            </w:pPr>
            <w:r w:rsidRPr="00C947C6">
              <w:rPr>
                <w:i/>
                <w:sz w:val="20"/>
                <w:szCs w:val="20"/>
              </w:rPr>
              <w:t>All veteran hires will work with assigned managers to document annual performance goals within two weeks of their start date.</w:t>
            </w:r>
          </w:p>
        </w:tc>
      </w:tr>
      <w:tr w:rsidR="00F071AC" w:rsidRPr="00C947C6" w14:paraId="38A26081" w14:textId="77777777" w:rsidTr="00635EBC">
        <w:trPr>
          <w:trHeight w:val="100"/>
        </w:trPr>
        <w:tc>
          <w:tcPr>
            <w:tcW w:w="1669" w:type="dxa"/>
            <w:vMerge/>
          </w:tcPr>
          <w:p w14:paraId="75A2349E" w14:textId="77777777" w:rsidR="00F071AC" w:rsidRPr="00C947C6" w:rsidRDefault="00F071AC" w:rsidP="00635EBC">
            <w:pPr>
              <w:rPr>
                <w:sz w:val="20"/>
                <w:szCs w:val="20"/>
              </w:rPr>
            </w:pPr>
          </w:p>
        </w:tc>
        <w:tc>
          <w:tcPr>
            <w:tcW w:w="3840" w:type="dxa"/>
          </w:tcPr>
          <w:p w14:paraId="6AC97E91" w14:textId="77777777" w:rsidR="00F071AC" w:rsidRPr="00C947C6" w:rsidRDefault="00F071AC" w:rsidP="00635EBC">
            <w:pPr>
              <w:rPr>
                <w:i/>
                <w:sz w:val="20"/>
                <w:szCs w:val="20"/>
              </w:rPr>
            </w:pPr>
            <w:r w:rsidRPr="00C947C6">
              <w:rPr>
                <w:i/>
                <w:sz w:val="20"/>
                <w:szCs w:val="20"/>
              </w:rPr>
              <w:t>Processes that ensure supervisors establish clear assignment expectations and then follow-up to ensure compliance</w:t>
            </w:r>
          </w:p>
        </w:tc>
        <w:tc>
          <w:tcPr>
            <w:tcW w:w="3841" w:type="dxa"/>
          </w:tcPr>
          <w:p w14:paraId="4F09738A" w14:textId="77777777" w:rsidR="00F071AC" w:rsidRPr="00C947C6" w:rsidRDefault="00F071AC" w:rsidP="00635EBC">
            <w:pPr>
              <w:rPr>
                <w:i/>
                <w:sz w:val="20"/>
                <w:szCs w:val="20"/>
              </w:rPr>
            </w:pPr>
            <w:r w:rsidRPr="00C947C6">
              <w:rPr>
                <w:i/>
                <w:sz w:val="20"/>
                <w:szCs w:val="20"/>
              </w:rPr>
              <w:t xml:space="preserve">Supervisors will perform initial counseling for a new assignment within 48 hours of </w:t>
            </w:r>
            <w:r w:rsidRPr="00C947C6">
              <w:rPr>
                <w:i/>
                <w:sz w:val="20"/>
                <w:szCs w:val="20"/>
              </w:rPr>
              <w:lastRenderedPageBreak/>
              <w:t>assignment. Performance counseling will take place every four weeks.</w:t>
            </w:r>
          </w:p>
        </w:tc>
      </w:tr>
      <w:tr w:rsidR="00F071AC" w:rsidRPr="00C947C6" w14:paraId="6D41D353" w14:textId="77777777" w:rsidTr="00635EBC">
        <w:trPr>
          <w:trHeight w:val="100"/>
        </w:trPr>
        <w:tc>
          <w:tcPr>
            <w:tcW w:w="1669" w:type="dxa"/>
            <w:vMerge/>
          </w:tcPr>
          <w:p w14:paraId="485D19DE" w14:textId="77777777" w:rsidR="00F071AC" w:rsidRPr="00C947C6" w:rsidRDefault="00F071AC" w:rsidP="00635EBC">
            <w:pPr>
              <w:rPr>
                <w:sz w:val="20"/>
                <w:szCs w:val="20"/>
              </w:rPr>
            </w:pPr>
          </w:p>
        </w:tc>
        <w:tc>
          <w:tcPr>
            <w:tcW w:w="3840" w:type="dxa"/>
          </w:tcPr>
          <w:p w14:paraId="36B62DCB" w14:textId="77777777" w:rsidR="00F071AC" w:rsidRPr="00C947C6" w:rsidRDefault="00F071AC" w:rsidP="00635EBC">
            <w:pPr>
              <w:rPr>
                <w:i/>
                <w:sz w:val="20"/>
                <w:szCs w:val="20"/>
              </w:rPr>
            </w:pPr>
            <w:r w:rsidRPr="00C947C6">
              <w:rPr>
                <w:i/>
                <w:sz w:val="20"/>
                <w:szCs w:val="20"/>
              </w:rPr>
              <w:t>Etc.</w:t>
            </w:r>
          </w:p>
        </w:tc>
        <w:tc>
          <w:tcPr>
            <w:tcW w:w="3841" w:type="dxa"/>
          </w:tcPr>
          <w:p w14:paraId="06079DEA" w14:textId="77777777" w:rsidR="00F071AC" w:rsidRPr="00C947C6" w:rsidRDefault="00F071AC" w:rsidP="00635EBC">
            <w:pPr>
              <w:rPr>
                <w:i/>
                <w:sz w:val="20"/>
                <w:szCs w:val="20"/>
              </w:rPr>
            </w:pPr>
          </w:p>
        </w:tc>
      </w:tr>
      <w:tr w:rsidR="00F071AC" w:rsidRPr="00C947C6" w14:paraId="5F3B93B6" w14:textId="77777777" w:rsidTr="00635EBC">
        <w:trPr>
          <w:trHeight w:val="100"/>
        </w:trPr>
        <w:tc>
          <w:tcPr>
            <w:tcW w:w="1669" w:type="dxa"/>
            <w:vMerge w:val="restart"/>
          </w:tcPr>
          <w:p w14:paraId="115515A2" w14:textId="77777777" w:rsidR="00F071AC" w:rsidRPr="00C947C6" w:rsidRDefault="00F071AC" w:rsidP="00635EBC">
            <w:pPr>
              <w:rPr>
                <w:sz w:val="20"/>
                <w:szCs w:val="20"/>
              </w:rPr>
            </w:pPr>
            <w:r w:rsidRPr="00C947C6">
              <w:rPr>
                <w:sz w:val="20"/>
                <w:szCs w:val="20"/>
              </w:rPr>
              <w:t>Developing</w:t>
            </w:r>
          </w:p>
        </w:tc>
        <w:tc>
          <w:tcPr>
            <w:tcW w:w="3840" w:type="dxa"/>
          </w:tcPr>
          <w:p w14:paraId="082BB2B5" w14:textId="77777777" w:rsidR="00F071AC" w:rsidRPr="00C947C6" w:rsidRDefault="00F071AC" w:rsidP="00635EBC">
            <w:pPr>
              <w:rPr>
                <w:i/>
                <w:sz w:val="20"/>
                <w:szCs w:val="20"/>
              </w:rPr>
            </w:pPr>
            <w:r w:rsidRPr="00C947C6">
              <w:rPr>
                <w:i/>
                <w:sz w:val="20"/>
                <w:szCs w:val="20"/>
              </w:rPr>
              <w:t>Policies to provide veterans early, frequent, informal performance feedback</w:t>
            </w:r>
          </w:p>
        </w:tc>
        <w:tc>
          <w:tcPr>
            <w:tcW w:w="3841" w:type="dxa"/>
          </w:tcPr>
          <w:p w14:paraId="0F738ED7" w14:textId="77777777" w:rsidR="00F071AC" w:rsidRPr="00C947C6" w:rsidRDefault="00F071AC" w:rsidP="00635EBC">
            <w:pPr>
              <w:rPr>
                <w:i/>
                <w:sz w:val="20"/>
                <w:szCs w:val="20"/>
              </w:rPr>
            </w:pPr>
            <w:r w:rsidRPr="00C947C6">
              <w:rPr>
                <w:i/>
                <w:sz w:val="20"/>
                <w:szCs w:val="20"/>
              </w:rPr>
              <w:t>Veterans receive formal performance feedback quarterly and informal feedback monthly for the duration of their first year.</w:t>
            </w:r>
          </w:p>
        </w:tc>
      </w:tr>
      <w:tr w:rsidR="00F071AC" w:rsidRPr="00C947C6" w14:paraId="0A37A3A5" w14:textId="77777777" w:rsidTr="00635EBC">
        <w:trPr>
          <w:trHeight w:val="100"/>
        </w:trPr>
        <w:tc>
          <w:tcPr>
            <w:tcW w:w="1669" w:type="dxa"/>
            <w:vMerge/>
          </w:tcPr>
          <w:p w14:paraId="0B9EA382" w14:textId="77777777" w:rsidR="00F071AC" w:rsidRPr="00C947C6" w:rsidRDefault="00F071AC" w:rsidP="00635EBC">
            <w:pPr>
              <w:rPr>
                <w:sz w:val="20"/>
                <w:szCs w:val="20"/>
              </w:rPr>
            </w:pPr>
          </w:p>
        </w:tc>
        <w:tc>
          <w:tcPr>
            <w:tcW w:w="3840" w:type="dxa"/>
          </w:tcPr>
          <w:p w14:paraId="5FF36567" w14:textId="77777777" w:rsidR="00F071AC" w:rsidRPr="00C947C6" w:rsidRDefault="00F071AC" w:rsidP="00635EBC">
            <w:pPr>
              <w:rPr>
                <w:i/>
                <w:sz w:val="20"/>
                <w:szCs w:val="20"/>
              </w:rPr>
            </w:pPr>
            <w:r w:rsidRPr="00C947C6">
              <w:rPr>
                <w:i/>
                <w:sz w:val="20"/>
                <w:szCs w:val="20"/>
              </w:rPr>
              <w:t>Transparent policies regarding training requirements, appraisal or review cycles, reward systems, and career path expectations</w:t>
            </w:r>
          </w:p>
        </w:tc>
        <w:tc>
          <w:tcPr>
            <w:tcW w:w="3841" w:type="dxa"/>
          </w:tcPr>
          <w:p w14:paraId="1785FC95" w14:textId="77777777" w:rsidR="00F071AC" w:rsidRPr="00C947C6" w:rsidRDefault="00F071AC" w:rsidP="00635EBC">
            <w:pPr>
              <w:rPr>
                <w:i/>
                <w:sz w:val="20"/>
                <w:szCs w:val="20"/>
              </w:rPr>
            </w:pPr>
            <w:r w:rsidRPr="00C947C6">
              <w:rPr>
                <w:i/>
                <w:sz w:val="20"/>
                <w:szCs w:val="20"/>
              </w:rPr>
              <w:t>Training requirements, appraisal cycles, reward systems, and career path options/requirements are mandatory topics discussed in veteran onboarding courses.</w:t>
            </w:r>
          </w:p>
        </w:tc>
      </w:tr>
      <w:tr w:rsidR="00F071AC" w:rsidRPr="00C947C6" w14:paraId="276B3635" w14:textId="77777777" w:rsidTr="00635EBC">
        <w:trPr>
          <w:trHeight w:val="100"/>
        </w:trPr>
        <w:tc>
          <w:tcPr>
            <w:tcW w:w="1669" w:type="dxa"/>
            <w:vMerge/>
          </w:tcPr>
          <w:p w14:paraId="138D974F" w14:textId="77777777" w:rsidR="00F071AC" w:rsidRPr="00C947C6" w:rsidRDefault="00F071AC" w:rsidP="00635EBC">
            <w:pPr>
              <w:rPr>
                <w:sz w:val="20"/>
                <w:szCs w:val="20"/>
              </w:rPr>
            </w:pPr>
          </w:p>
        </w:tc>
        <w:tc>
          <w:tcPr>
            <w:tcW w:w="3840" w:type="dxa"/>
          </w:tcPr>
          <w:p w14:paraId="39F2652D" w14:textId="77777777" w:rsidR="00F071AC" w:rsidRPr="00C947C6" w:rsidRDefault="00F071AC" w:rsidP="00635EBC">
            <w:pPr>
              <w:rPr>
                <w:i/>
                <w:sz w:val="20"/>
                <w:szCs w:val="20"/>
              </w:rPr>
            </w:pPr>
            <w:r w:rsidRPr="00C947C6">
              <w:rPr>
                <w:i/>
                <w:sz w:val="20"/>
                <w:szCs w:val="20"/>
              </w:rPr>
              <w:t>Etc.</w:t>
            </w:r>
          </w:p>
        </w:tc>
        <w:tc>
          <w:tcPr>
            <w:tcW w:w="3841" w:type="dxa"/>
          </w:tcPr>
          <w:p w14:paraId="23204106" w14:textId="77777777" w:rsidR="00F071AC" w:rsidRPr="00C947C6" w:rsidRDefault="00F071AC" w:rsidP="00635EBC">
            <w:pPr>
              <w:rPr>
                <w:i/>
                <w:sz w:val="20"/>
                <w:szCs w:val="20"/>
              </w:rPr>
            </w:pPr>
          </w:p>
        </w:tc>
      </w:tr>
      <w:tr w:rsidR="00F071AC" w:rsidRPr="00C947C6" w14:paraId="331479A4" w14:textId="77777777" w:rsidTr="00635EBC">
        <w:trPr>
          <w:trHeight w:val="100"/>
        </w:trPr>
        <w:tc>
          <w:tcPr>
            <w:tcW w:w="1669" w:type="dxa"/>
            <w:vMerge w:val="restart"/>
          </w:tcPr>
          <w:p w14:paraId="570B5D7A" w14:textId="77777777" w:rsidR="00F071AC" w:rsidRPr="00C947C6" w:rsidRDefault="00F071AC" w:rsidP="00635EBC">
            <w:pPr>
              <w:rPr>
                <w:sz w:val="20"/>
                <w:szCs w:val="20"/>
              </w:rPr>
            </w:pPr>
            <w:r w:rsidRPr="00C947C6">
              <w:rPr>
                <w:sz w:val="20"/>
                <w:szCs w:val="20"/>
              </w:rPr>
              <w:t>Retaining</w:t>
            </w:r>
          </w:p>
        </w:tc>
        <w:tc>
          <w:tcPr>
            <w:tcW w:w="3840" w:type="dxa"/>
          </w:tcPr>
          <w:p w14:paraId="6A0E036F" w14:textId="77777777" w:rsidR="00F071AC" w:rsidRPr="00C947C6" w:rsidRDefault="00F071AC" w:rsidP="00635EBC">
            <w:pPr>
              <w:rPr>
                <w:i/>
                <w:sz w:val="20"/>
                <w:szCs w:val="20"/>
              </w:rPr>
            </w:pPr>
            <w:r w:rsidRPr="00C947C6">
              <w:rPr>
                <w:i/>
                <w:sz w:val="20"/>
                <w:szCs w:val="20"/>
              </w:rPr>
              <w:t>Processes for addressing segments of the business that underperform in retaining veterans</w:t>
            </w:r>
          </w:p>
        </w:tc>
        <w:tc>
          <w:tcPr>
            <w:tcW w:w="3841" w:type="dxa"/>
          </w:tcPr>
          <w:p w14:paraId="36A6ABAA" w14:textId="77777777" w:rsidR="00F071AC" w:rsidRPr="00C947C6" w:rsidRDefault="00F071AC" w:rsidP="00635EBC">
            <w:pPr>
              <w:rPr>
                <w:i/>
                <w:sz w:val="20"/>
                <w:szCs w:val="20"/>
              </w:rPr>
            </w:pPr>
            <w:r w:rsidRPr="00C947C6">
              <w:rPr>
                <w:i/>
                <w:sz w:val="20"/>
                <w:szCs w:val="20"/>
              </w:rPr>
              <w:t>Veteran performance and retention will be segmented by location and business and reported quarterly.</w:t>
            </w:r>
          </w:p>
        </w:tc>
      </w:tr>
      <w:tr w:rsidR="00F071AC" w:rsidRPr="00C947C6" w14:paraId="74D0814A" w14:textId="77777777" w:rsidTr="00635EBC">
        <w:trPr>
          <w:trHeight w:val="100"/>
        </w:trPr>
        <w:tc>
          <w:tcPr>
            <w:tcW w:w="1669" w:type="dxa"/>
            <w:vMerge/>
          </w:tcPr>
          <w:p w14:paraId="338B5D19" w14:textId="77777777" w:rsidR="00F071AC" w:rsidRPr="00C947C6" w:rsidRDefault="00F071AC" w:rsidP="00635EBC">
            <w:pPr>
              <w:rPr>
                <w:sz w:val="20"/>
                <w:szCs w:val="20"/>
              </w:rPr>
            </w:pPr>
          </w:p>
        </w:tc>
        <w:tc>
          <w:tcPr>
            <w:tcW w:w="3840" w:type="dxa"/>
          </w:tcPr>
          <w:p w14:paraId="047F5DBB" w14:textId="77777777" w:rsidR="00F071AC" w:rsidRPr="00C947C6" w:rsidRDefault="00F071AC" w:rsidP="00635EBC">
            <w:pPr>
              <w:rPr>
                <w:i/>
                <w:sz w:val="20"/>
                <w:szCs w:val="20"/>
              </w:rPr>
            </w:pPr>
            <w:r w:rsidRPr="00C947C6">
              <w:rPr>
                <w:i/>
                <w:sz w:val="20"/>
                <w:szCs w:val="20"/>
              </w:rPr>
              <w:t>Processes supportive of ongoing service in the National Guard or Reserve</w:t>
            </w:r>
          </w:p>
        </w:tc>
        <w:tc>
          <w:tcPr>
            <w:tcW w:w="3841" w:type="dxa"/>
          </w:tcPr>
          <w:p w14:paraId="253B73A7" w14:textId="77777777" w:rsidR="00F071AC" w:rsidRPr="00C947C6" w:rsidRDefault="00F071AC" w:rsidP="00635EBC">
            <w:pPr>
              <w:rPr>
                <w:i/>
                <w:sz w:val="20"/>
                <w:szCs w:val="20"/>
              </w:rPr>
            </w:pPr>
            <w:r w:rsidRPr="00C947C6">
              <w:rPr>
                <w:i/>
                <w:sz w:val="20"/>
                <w:szCs w:val="20"/>
              </w:rPr>
              <w:t>The veteran support program leader will maintain the ESGR Statement of Support.</w:t>
            </w:r>
          </w:p>
        </w:tc>
      </w:tr>
      <w:tr w:rsidR="00F071AC" w:rsidRPr="00C947C6" w14:paraId="1EE82F97" w14:textId="77777777" w:rsidTr="00635EBC">
        <w:trPr>
          <w:trHeight w:val="100"/>
        </w:trPr>
        <w:tc>
          <w:tcPr>
            <w:tcW w:w="1669" w:type="dxa"/>
            <w:vMerge/>
          </w:tcPr>
          <w:p w14:paraId="7DFCF9DA" w14:textId="77777777" w:rsidR="00F071AC" w:rsidRPr="00C947C6" w:rsidRDefault="00F071AC" w:rsidP="00635EBC">
            <w:pPr>
              <w:rPr>
                <w:sz w:val="20"/>
                <w:szCs w:val="20"/>
              </w:rPr>
            </w:pPr>
          </w:p>
        </w:tc>
        <w:tc>
          <w:tcPr>
            <w:tcW w:w="3840" w:type="dxa"/>
          </w:tcPr>
          <w:p w14:paraId="6D0A17B4" w14:textId="77777777" w:rsidR="00F071AC" w:rsidRPr="00C947C6" w:rsidRDefault="00F071AC" w:rsidP="00635EBC">
            <w:pPr>
              <w:rPr>
                <w:i/>
                <w:iCs/>
                <w:sz w:val="20"/>
                <w:szCs w:val="20"/>
              </w:rPr>
            </w:pPr>
            <w:r w:rsidRPr="00C947C6">
              <w:rPr>
                <w:i/>
                <w:iCs/>
                <w:sz w:val="20"/>
                <w:szCs w:val="20"/>
              </w:rPr>
              <w:t>Etc.</w:t>
            </w:r>
          </w:p>
        </w:tc>
        <w:tc>
          <w:tcPr>
            <w:tcW w:w="3841" w:type="dxa"/>
          </w:tcPr>
          <w:p w14:paraId="373C49CE" w14:textId="77777777" w:rsidR="00F071AC" w:rsidRPr="00C947C6" w:rsidRDefault="00F071AC" w:rsidP="00635EBC">
            <w:pPr>
              <w:rPr>
                <w:sz w:val="20"/>
                <w:szCs w:val="20"/>
              </w:rPr>
            </w:pPr>
          </w:p>
        </w:tc>
      </w:tr>
      <w:tr w:rsidR="00F071AC" w:rsidRPr="00C947C6" w14:paraId="32C11A91" w14:textId="77777777" w:rsidTr="00635EBC">
        <w:trPr>
          <w:trHeight w:val="100"/>
        </w:trPr>
        <w:tc>
          <w:tcPr>
            <w:tcW w:w="1669" w:type="dxa"/>
            <w:vMerge w:val="restart"/>
          </w:tcPr>
          <w:p w14:paraId="4C767FD5" w14:textId="77777777" w:rsidR="00F071AC" w:rsidRPr="00C947C6" w:rsidRDefault="00F071AC" w:rsidP="00635EBC">
            <w:pPr>
              <w:rPr>
                <w:sz w:val="20"/>
                <w:szCs w:val="20"/>
              </w:rPr>
            </w:pPr>
            <w:r w:rsidRPr="00C947C6">
              <w:rPr>
                <w:sz w:val="20"/>
                <w:szCs w:val="20"/>
              </w:rPr>
              <w:t>Separating</w:t>
            </w:r>
          </w:p>
        </w:tc>
        <w:tc>
          <w:tcPr>
            <w:tcW w:w="3840" w:type="dxa"/>
          </w:tcPr>
          <w:p w14:paraId="7912EF42" w14:textId="77777777" w:rsidR="00F071AC" w:rsidRPr="00C947C6" w:rsidRDefault="00F071AC" w:rsidP="00635EBC">
            <w:pPr>
              <w:rPr>
                <w:i/>
                <w:iCs/>
                <w:sz w:val="20"/>
                <w:szCs w:val="20"/>
              </w:rPr>
            </w:pPr>
            <w:r w:rsidRPr="00C947C6">
              <w:rPr>
                <w:i/>
                <w:iCs/>
                <w:sz w:val="20"/>
                <w:szCs w:val="20"/>
              </w:rPr>
              <w:t>Processes for successfully outplacing those veterans not retained</w:t>
            </w:r>
            <w:r w:rsidRPr="00C947C6">
              <w:rPr>
                <w:i/>
                <w:iCs/>
                <w:sz w:val="20"/>
                <w:szCs w:val="20"/>
              </w:rPr>
              <w:tab/>
            </w:r>
          </w:p>
        </w:tc>
        <w:tc>
          <w:tcPr>
            <w:tcW w:w="3841" w:type="dxa"/>
          </w:tcPr>
          <w:p w14:paraId="6671B1DB" w14:textId="77777777" w:rsidR="00F071AC" w:rsidRPr="00C947C6" w:rsidRDefault="00F071AC" w:rsidP="00635EBC">
            <w:pPr>
              <w:rPr>
                <w:i/>
                <w:iCs/>
                <w:sz w:val="20"/>
                <w:szCs w:val="20"/>
              </w:rPr>
            </w:pPr>
            <w:r w:rsidRPr="00C947C6">
              <w:rPr>
                <w:i/>
                <w:iCs/>
                <w:sz w:val="20"/>
                <w:szCs w:val="20"/>
              </w:rPr>
              <w:t>Every separating veteran will attempt to be outplaced by HR.</w:t>
            </w:r>
          </w:p>
        </w:tc>
      </w:tr>
      <w:tr w:rsidR="00F071AC" w:rsidRPr="00C947C6" w14:paraId="520FC43C" w14:textId="77777777" w:rsidTr="00635EBC">
        <w:trPr>
          <w:trHeight w:val="100"/>
        </w:trPr>
        <w:tc>
          <w:tcPr>
            <w:tcW w:w="1669" w:type="dxa"/>
            <w:vMerge/>
          </w:tcPr>
          <w:p w14:paraId="3524F7C1" w14:textId="77777777" w:rsidR="00F071AC" w:rsidRPr="00C947C6" w:rsidRDefault="00F071AC" w:rsidP="00635EBC">
            <w:pPr>
              <w:rPr>
                <w:sz w:val="20"/>
                <w:szCs w:val="20"/>
              </w:rPr>
            </w:pPr>
          </w:p>
        </w:tc>
        <w:tc>
          <w:tcPr>
            <w:tcW w:w="3840" w:type="dxa"/>
          </w:tcPr>
          <w:p w14:paraId="6641811A" w14:textId="77777777" w:rsidR="00F071AC" w:rsidRPr="00C947C6" w:rsidRDefault="00F071AC" w:rsidP="00635EBC">
            <w:pPr>
              <w:rPr>
                <w:i/>
                <w:iCs/>
                <w:sz w:val="20"/>
                <w:szCs w:val="20"/>
              </w:rPr>
            </w:pPr>
            <w:r w:rsidRPr="00C947C6">
              <w:rPr>
                <w:i/>
                <w:iCs/>
                <w:sz w:val="20"/>
                <w:szCs w:val="20"/>
              </w:rPr>
              <w:t>Exit-interview process to understand reasons for turnover to address the root causes</w:t>
            </w:r>
          </w:p>
        </w:tc>
        <w:tc>
          <w:tcPr>
            <w:tcW w:w="3841" w:type="dxa"/>
          </w:tcPr>
          <w:p w14:paraId="7A02A20D" w14:textId="77777777" w:rsidR="00F071AC" w:rsidRPr="00C947C6" w:rsidRDefault="00F071AC" w:rsidP="00635EBC">
            <w:pPr>
              <w:rPr>
                <w:i/>
                <w:iCs/>
                <w:sz w:val="20"/>
                <w:szCs w:val="20"/>
              </w:rPr>
            </w:pPr>
            <w:r w:rsidRPr="00C947C6">
              <w:rPr>
                <w:i/>
                <w:iCs/>
                <w:sz w:val="20"/>
                <w:szCs w:val="20"/>
              </w:rPr>
              <w:t>Veteran affinity group members will conduct exit interviews with all separating veterans and document causes for their separation.</w:t>
            </w:r>
          </w:p>
        </w:tc>
      </w:tr>
      <w:tr w:rsidR="00F071AC" w:rsidRPr="00C947C6" w14:paraId="4938B0A9" w14:textId="77777777" w:rsidTr="00635EBC">
        <w:trPr>
          <w:trHeight w:val="100"/>
        </w:trPr>
        <w:tc>
          <w:tcPr>
            <w:tcW w:w="1669" w:type="dxa"/>
            <w:vMerge/>
          </w:tcPr>
          <w:p w14:paraId="41E800D9" w14:textId="77777777" w:rsidR="00F071AC" w:rsidRPr="00C947C6" w:rsidRDefault="00F071AC" w:rsidP="00635EBC">
            <w:pPr>
              <w:rPr>
                <w:sz w:val="20"/>
                <w:szCs w:val="20"/>
              </w:rPr>
            </w:pPr>
          </w:p>
        </w:tc>
        <w:tc>
          <w:tcPr>
            <w:tcW w:w="3840" w:type="dxa"/>
          </w:tcPr>
          <w:p w14:paraId="7C755082" w14:textId="77777777" w:rsidR="00F071AC" w:rsidRPr="00C947C6" w:rsidRDefault="00F071AC" w:rsidP="00635EBC">
            <w:pPr>
              <w:rPr>
                <w:i/>
                <w:iCs/>
                <w:sz w:val="20"/>
                <w:szCs w:val="20"/>
              </w:rPr>
            </w:pPr>
            <w:r w:rsidRPr="00C947C6">
              <w:rPr>
                <w:i/>
                <w:iCs/>
                <w:sz w:val="20"/>
                <w:szCs w:val="20"/>
              </w:rPr>
              <w:t>Etc.</w:t>
            </w:r>
          </w:p>
        </w:tc>
        <w:tc>
          <w:tcPr>
            <w:tcW w:w="3841" w:type="dxa"/>
          </w:tcPr>
          <w:p w14:paraId="3B9E7699" w14:textId="77777777" w:rsidR="00F071AC" w:rsidRPr="00C947C6" w:rsidRDefault="00F071AC" w:rsidP="00635EBC">
            <w:pPr>
              <w:rPr>
                <w:i/>
                <w:iCs/>
                <w:sz w:val="20"/>
                <w:szCs w:val="20"/>
              </w:rPr>
            </w:pPr>
          </w:p>
        </w:tc>
      </w:tr>
    </w:tbl>
    <w:p w14:paraId="1EDE1E82" w14:textId="77777777" w:rsidR="00F071AC" w:rsidRPr="00F34118" w:rsidRDefault="00F071AC" w:rsidP="00F071AC">
      <w:pPr>
        <w:jc w:val="center"/>
        <w:rPr>
          <w:b/>
          <w:bCs/>
          <w:sz w:val="28"/>
          <w:szCs w:val="28"/>
        </w:rPr>
      </w:pPr>
    </w:p>
    <w:p w14:paraId="20791379" w14:textId="2338932C" w:rsidR="00695A9B" w:rsidRPr="00F071AC" w:rsidRDefault="00695A9B">
      <w:pPr>
        <w:rPr>
          <w:b/>
          <w:bCs/>
        </w:rPr>
      </w:pPr>
    </w:p>
    <w:sectPr w:rsidR="00695A9B" w:rsidRPr="00F07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AC"/>
    <w:rsid w:val="00695A9B"/>
    <w:rsid w:val="00F0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8A33"/>
  <w15:chartTrackingRefBased/>
  <w15:docId w15:val="{1727241B-7408-48D0-A3DA-3FA2F944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A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1AC"/>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71AC"/>
    <w:rPr>
      <w:sz w:val="16"/>
      <w:szCs w:val="16"/>
    </w:rPr>
  </w:style>
  <w:style w:type="paragraph" w:styleId="CommentText">
    <w:name w:val="annotation text"/>
    <w:basedOn w:val="Normal"/>
    <w:link w:val="CommentTextChar"/>
    <w:semiHidden/>
    <w:unhideWhenUsed/>
    <w:rsid w:val="00F071AC"/>
    <w:rPr>
      <w:sz w:val="20"/>
      <w:szCs w:val="20"/>
    </w:rPr>
  </w:style>
  <w:style w:type="character" w:customStyle="1" w:styleId="CommentTextChar">
    <w:name w:val="Comment Text Char"/>
    <w:basedOn w:val="DefaultParagraphFont"/>
    <w:link w:val="CommentText"/>
    <w:semiHidden/>
    <w:rsid w:val="00F071AC"/>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Long</dc:creator>
  <cp:keywords/>
  <dc:description/>
  <cp:lastModifiedBy>Joshua Long</cp:lastModifiedBy>
  <cp:revision>1</cp:revision>
  <dcterms:created xsi:type="dcterms:W3CDTF">2023-07-02T01:30:00Z</dcterms:created>
  <dcterms:modified xsi:type="dcterms:W3CDTF">2023-07-02T01:31:00Z</dcterms:modified>
</cp:coreProperties>
</file>